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FP&amp;A Close Notes – July 2022 (Healthcare Segment)</w:t>
      </w:r>
    </w:p>
    <w:p>
      <w:pPr>
        <w:pStyle w:val="Heading2"/>
      </w:pPr>
      <w:r>
        <w:t>Summary</w:t>
      </w:r>
    </w:p>
    <w:p>
      <w:r>
        <w:t>Healthcare segment revenue tracked slightly above plan driven by stable volumes across top IDNs. Gross margin remains pressured due to disruption-era pricing actions embedded in certain strategic accounts.</w:t>
      </w:r>
    </w:p>
    <w:p>
      <w:pPr>
        <w:pStyle w:val="Heading2"/>
      </w:pPr>
      <w:r>
        <w:t>Key Variance Drivers</w:t>
      </w:r>
    </w:p>
    <w:p>
      <w:r>
        <w:t>Northstar Health: in line with CPI escalator.</w:t>
        <w:br/>
        <w:t>Meridian IDN: favorable mix; repricing discussions expected Q4.</w:t>
        <w:br/>
        <w:t>Alpine Medical: revenue in line with plan; modeled at revised post‑June pricing as planning baseline. No rollback assumed in base case; sensitivity captured via retender scenario.</w:t>
      </w:r>
    </w:p>
    <w:p>
      <w:pPr>
        <w:pStyle w:val="Heading2"/>
      </w:pPr>
      <w:r>
        <w:t>Notes</w:t>
      </w:r>
    </w:p>
    <w:p>
      <w:r>
        <w:t>Ensure narrative alignment between forecast assumptions and customer-facing materials. Legal has requested avoiding ‘reset’ terminology in internal commentary.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